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ED64" w14:textId="77777777" w:rsidR="00E5207D" w:rsidRPr="00376A2E" w:rsidRDefault="005E546F" w:rsidP="005E546F">
      <w:pPr>
        <w:jc w:val="center"/>
        <w:rPr>
          <w:rFonts w:ascii="Arial" w:hAnsi="Arial"/>
        </w:rPr>
      </w:pPr>
      <w:bookmarkStart w:id="0" w:name="_GoBack"/>
      <w:bookmarkEnd w:id="0"/>
      <w:r w:rsidRPr="00376A2E">
        <w:rPr>
          <w:rFonts w:ascii="Arial" w:hAnsi="Arial"/>
        </w:rPr>
        <w:t>Changes to Constitution, Bylaws, and Standard Operating Procedures</w:t>
      </w:r>
    </w:p>
    <w:p w14:paraId="0FF4F264" w14:textId="4F832D20" w:rsidR="005E546F" w:rsidRPr="00376A2E" w:rsidRDefault="001D71C7" w:rsidP="005E546F">
      <w:pPr>
        <w:jc w:val="center"/>
        <w:rPr>
          <w:rFonts w:ascii="Arial" w:hAnsi="Arial"/>
        </w:rPr>
      </w:pPr>
      <w:r w:rsidRPr="00376A2E">
        <w:rPr>
          <w:rFonts w:ascii="Arial" w:hAnsi="Arial"/>
        </w:rPr>
        <w:t>as a result of</w:t>
      </w:r>
      <w:r w:rsidR="005E546F" w:rsidRPr="00376A2E">
        <w:rPr>
          <w:rFonts w:ascii="Arial" w:hAnsi="Arial"/>
        </w:rPr>
        <w:t xml:space="preserve"> Amendments passed at Supreme Session 2019</w:t>
      </w:r>
    </w:p>
    <w:p w14:paraId="2A03A74B" w14:textId="77777777" w:rsidR="00C8352E" w:rsidRDefault="00C8352E" w:rsidP="00376A2E">
      <w:pPr>
        <w:ind w:left="2880"/>
        <w:rPr>
          <w:rFonts w:ascii="Arial" w:hAnsi="Arial"/>
          <w:sz w:val="20"/>
          <w:szCs w:val="20"/>
        </w:rPr>
      </w:pPr>
    </w:p>
    <w:p w14:paraId="6935B545" w14:textId="77777777" w:rsidR="00C8352E" w:rsidRDefault="00C8352E" w:rsidP="00376A2E">
      <w:pPr>
        <w:ind w:left="2880"/>
        <w:rPr>
          <w:rFonts w:ascii="Arial" w:hAnsi="Arial"/>
          <w:sz w:val="20"/>
          <w:szCs w:val="20"/>
        </w:rPr>
      </w:pPr>
    </w:p>
    <w:p w14:paraId="536A0ABF" w14:textId="77777777" w:rsidR="005E546F" w:rsidRPr="00376A2E" w:rsidRDefault="005E546F" w:rsidP="00376A2E">
      <w:pPr>
        <w:ind w:left="2880"/>
        <w:rPr>
          <w:rFonts w:ascii="Arial" w:hAnsi="Arial"/>
          <w:b/>
        </w:rPr>
      </w:pPr>
      <w:r w:rsidRPr="00376A2E">
        <w:rPr>
          <w:rFonts w:ascii="Arial" w:hAnsi="Arial"/>
          <w:b/>
        </w:rPr>
        <w:t>Constitution-SGC</w:t>
      </w:r>
    </w:p>
    <w:p w14:paraId="262B10AA" w14:textId="77777777" w:rsidR="005E546F" w:rsidRPr="00376A2E" w:rsidRDefault="005E546F" w:rsidP="00376A2E">
      <w:pPr>
        <w:ind w:left="2880"/>
        <w:rPr>
          <w:rFonts w:ascii="Arial" w:hAnsi="Arial"/>
          <w:sz w:val="16"/>
          <w:szCs w:val="16"/>
        </w:rPr>
      </w:pPr>
    </w:p>
    <w:p w14:paraId="1A0FE725" w14:textId="5ED9423E" w:rsidR="005E546F" w:rsidRPr="00376A2E" w:rsidRDefault="001D71C7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>Article X</w:t>
      </w:r>
      <w:r w:rsidR="005E546F" w:rsidRPr="00376A2E">
        <w:rPr>
          <w:rFonts w:ascii="Arial" w:hAnsi="Arial"/>
        </w:rPr>
        <w:t>, Section 2 (a)</w:t>
      </w:r>
    </w:p>
    <w:p w14:paraId="7667177D" w14:textId="64375AC9" w:rsidR="001D71C7" w:rsidRPr="00376A2E" w:rsidRDefault="001D71C7" w:rsidP="00376A2E">
      <w:pPr>
        <w:ind w:left="3600"/>
        <w:rPr>
          <w:rFonts w:ascii="Arial" w:hAnsi="Arial"/>
          <w:u w:val="single"/>
        </w:rPr>
      </w:pPr>
      <w:r w:rsidRPr="00376A2E">
        <w:rPr>
          <w:rFonts w:ascii="Arial" w:hAnsi="Arial"/>
          <w:u w:val="single"/>
        </w:rPr>
        <w:t>Housekeeping as a result:</w:t>
      </w:r>
    </w:p>
    <w:p w14:paraId="6BFD01B5" w14:textId="6B877D50" w:rsidR="001D71C7" w:rsidRPr="00376A2E" w:rsidRDefault="001D71C7" w:rsidP="00376A2E">
      <w:pPr>
        <w:ind w:left="3600"/>
        <w:rPr>
          <w:rFonts w:ascii="Arial" w:hAnsi="Arial"/>
        </w:rPr>
      </w:pPr>
      <w:r w:rsidRPr="00376A2E">
        <w:rPr>
          <w:rFonts w:ascii="Arial" w:hAnsi="Arial"/>
        </w:rPr>
        <w:t>Article V, Section 2 (a)</w:t>
      </w:r>
    </w:p>
    <w:p w14:paraId="4FCF20FC" w14:textId="583142EE" w:rsidR="001D71C7" w:rsidRPr="00376A2E" w:rsidRDefault="001D71C7" w:rsidP="00376A2E">
      <w:pPr>
        <w:ind w:left="3600"/>
        <w:rPr>
          <w:rFonts w:ascii="Arial" w:hAnsi="Arial"/>
        </w:rPr>
      </w:pPr>
      <w:r w:rsidRPr="00376A2E">
        <w:rPr>
          <w:rFonts w:ascii="Arial" w:hAnsi="Arial"/>
        </w:rPr>
        <w:t>Article X, Section 1 (a)</w:t>
      </w:r>
    </w:p>
    <w:p w14:paraId="6F234005" w14:textId="77777777" w:rsidR="005E546F" w:rsidRPr="00376A2E" w:rsidRDefault="005E546F" w:rsidP="00376A2E">
      <w:pPr>
        <w:ind w:left="2880"/>
        <w:rPr>
          <w:rFonts w:ascii="Arial" w:hAnsi="Arial"/>
          <w:sz w:val="20"/>
          <w:szCs w:val="20"/>
        </w:rPr>
      </w:pPr>
    </w:p>
    <w:p w14:paraId="365BE7E5" w14:textId="77777777" w:rsidR="005E546F" w:rsidRPr="00376A2E" w:rsidRDefault="005E546F" w:rsidP="00376A2E">
      <w:pPr>
        <w:ind w:left="2880"/>
        <w:rPr>
          <w:rFonts w:ascii="Arial" w:hAnsi="Arial"/>
          <w:sz w:val="20"/>
          <w:szCs w:val="20"/>
        </w:rPr>
      </w:pPr>
    </w:p>
    <w:p w14:paraId="7EDBFB34" w14:textId="77777777" w:rsidR="005E546F" w:rsidRPr="00376A2E" w:rsidRDefault="005E546F" w:rsidP="00376A2E">
      <w:pPr>
        <w:ind w:left="2880"/>
        <w:rPr>
          <w:rFonts w:ascii="Arial" w:hAnsi="Arial"/>
          <w:b/>
        </w:rPr>
      </w:pPr>
      <w:r w:rsidRPr="00376A2E">
        <w:rPr>
          <w:rFonts w:ascii="Arial" w:hAnsi="Arial"/>
          <w:b/>
        </w:rPr>
        <w:t>Bylaws-SGC</w:t>
      </w:r>
    </w:p>
    <w:p w14:paraId="5840F0E0" w14:textId="77777777" w:rsidR="005E546F" w:rsidRPr="00376A2E" w:rsidRDefault="005E546F" w:rsidP="00376A2E">
      <w:pPr>
        <w:ind w:left="2880"/>
        <w:rPr>
          <w:rFonts w:ascii="Arial" w:hAnsi="Arial"/>
          <w:sz w:val="16"/>
          <w:szCs w:val="16"/>
        </w:rPr>
      </w:pPr>
    </w:p>
    <w:p w14:paraId="4E65AC4C" w14:textId="77777777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>Article I, Section 1 (g)</w:t>
      </w:r>
    </w:p>
    <w:p w14:paraId="2D8FC12B" w14:textId="77777777" w:rsidR="005E546F" w:rsidRPr="00376A2E" w:rsidRDefault="005E546F" w:rsidP="00376A2E">
      <w:pPr>
        <w:ind w:left="2880"/>
        <w:rPr>
          <w:rFonts w:ascii="Arial" w:hAnsi="Arial"/>
        </w:rPr>
      </w:pPr>
    </w:p>
    <w:p w14:paraId="7EF25520" w14:textId="77777777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>Article VIII, Section 1 (g)</w:t>
      </w:r>
    </w:p>
    <w:p w14:paraId="31B8A9E8" w14:textId="77777777" w:rsidR="005E546F" w:rsidRPr="00376A2E" w:rsidRDefault="005E546F" w:rsidP="00376A2E">
      <w:pPr>
        <w:ind w:left="2880"/>
        <w:rPr>
          <w:rFonts w:ascii="Arial" w:hAnsi="Arial"/>
        </w:rPr>
      </w:pPr>
    </w:p>
    <w:p w14:paraId="145AF7BC" w14:textId="77777777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>Article XI, Section 13 (a)</w:t>
      </w:r>
    </w:p>
    <w:p w14:paraId="00DEA198" w14:textId="77777777" w:rsidR="005E546F" w:rsidRPr="00376A2E" w:rsidRDefault="005E546F" w:rsidP="00376A2E">
      <w:pPr>
        <w:ind w:left="2880"/>
        <w:rPr>
          <w:rFonts w:ascii="Arial" w:hAnsi="Arial"/>
          <w:sz w:val="20"/>
          <w:szCs w:val="20"/>
        </w:rPr>
      </w:pPr>
    </w:p>
    <w:p w14:paraId="77EA03D4" w14:textId="77777777" w:rsidR="005E546F" w:rsidRPr="00376A2E" w:rsidRDefault="005E546F" w:rsidP="00376A2E">
      <w:pPr>
        <w:ind w:left="2880"/>
        <w:rPr>
          <w:rFonts w:ascii="Arial" w:hAnsi="Arial"/>
          <w:sz w:val="20"/>
          <w:szCs w:val="20"/>
        </w:rPr>
      </w:pPr>
    </w:p>
    <w:p w14:paraId="67A1E462" w14:textId="77777777" w:rsidR="005E546F" w:rsidRPr="00376A2E" w:rsidRDefault="005E546F" w:rsidP="00376A2E">
      <w:pPr>
        <w:ind w:left="2880"/>
        <w:rPr>
          <w:rFonts w:ascii="Arial" w:hAnsi="Arial"/>
          <w:b/>
        </w:rPr>
      </w:pPr>
      <w:r w:rsidRPr="00376A2E">
        <w:rPr>
          <w:rFonts w:ascii="Arial" w:hAnsi="Arial"/>
          <w:b/>
        </w:rPr>
        <w:t>Bylaws-BGC</w:t>
      </w:r>
    </w:p>
    <w:p w14:paraId="48C37F75" w14:textId="77777777" w:rsidR="005E546F" w:rsidRPr="00376A2E" w:rsidRDefault="005E546F" w:rsidP="00376A2E">
      <w:pPr>
        <w:ind w:left="2880"/>
        <w:rPr>
          <w:rFonts w:ascii="Arial" w:hAnsi="Arial"/>
          <w:sz w:val="16"/>
          <w:szCs w:val="16"/>
        </w:rPr>
      </w:pPr>
    </w:p>
    <w:p w14:paraId="0EFD8F03" w14:textId="77777777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>Article I, Section 1 (a)-(h)</w:t>
      </w:r>
    </w:p>
    <w:p w14:paraId="306421F5" w14:textId="77777777" w:rsidR="005E546F" w:rsidRPr="00376A2E" w:rsidRDefault="005E546F" w:rsidP="00376A2E">
      <w:pPr>
        <w:ind w:left="2880"/>
        <w:rPr>
          <w:rFonts w:ascii="Arial" w:hAnsi="Arial"/>
        </w:rPr>
      </w:pPr>
    </w:p>
    <w:p w14:paraId="0C7792DE" w14:textId="0B077284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 xml:space="preserve">Article </w:t>
      </w:r>
      <w:r w:rsidR="001D71C7" w:rsidRPr="00376A2E">
        <w:rPr>
          <w:rFonts w:ascii="Arial" w:hAnsi="Arial"/>
        </w:rPr>
        <w:t>V</w:t>
      </w:r>
      <w:r w:rsidRPr="00376A2E">
        <w:rPr>
          <w:rFonts w:ascii="Arial" w:hAnsi="Arial"/>
        </w:rPr>
        <w:t>II, Section 1 (c)</w:t>
      </w:r>
    </w:p>
    <w:p w14:paraId="624A0079" w14:textId="77777777" w:rsidR="005E546F" w:rsidRPr="00376A2E" w:rsidRDefault="005E546F" w:rsidP="00376A2E">
      <w:pPr>
        <w:ind w:left="2880"/>
        <w:rPr>
          <w:rFonts w:ascii="Arial" w:hAnsi="Arial"/>
        </w:rPr>
      </w:pPr>
    </w:p>
    <w:p w14:paraId="4C011A24" w14:textId="009B62B4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 xml:space="preserve">Article </w:t>
      </w:r>
      <w:r w:rsidR="001D71C7" w:rsidRPr="00376A2E">
        <w:rPr>
          <w:rFonts w:ascii="Arial" w:hAnsi="Arial"/>
        </w:rPr>
        <w:t>V</w:t>
      </w:r>
      <w:r w:rsidRPr="00376A2E">
        <w:rPr>
          <w:rFonts w:ascii="Arial" w:hAnsi="Arial"/>
        </w:rPr>
        <w:t>II, Section 3 (a)</w:t>
      </w:r>
    </w:p>
    <w:p w14:paraId="6154BE67" w14:textId="77777777" w:rsidR="005E546F" w:rsidRPr="00376A2E" w:rsidRDefault="005E546F" w:rsidP="00376A2E">
      <w:pPr>
        <w:ind w:left="2880"/>
        <w:rPr>
          <w:rFonts w:ascii="Arial" w:hAnsi="Arial"/>
          <w:sz w:val="20"/>
          <w:szCs w:val="20"/>
        </w:rPr>
      </w:pPr>
    </w:p>
    <w:p w14:paraId="5EACF569" w14:textId="77777777" w:rsidR="00CD3B64" w:rsidRPr="00376A2E" w:rsidRDefault="00CD3B64" w:rsidP="00376A2E">
      <w:pPr>
        <w:ind w:left="2880"/>
        <w:rPr>
          <w:rFonts w:ascii="Arial" w:hAnsi="Arial"/>
          <w:sz w:val="20"/>
          <w:szCs w:val="20"/>
        </w:rPr>
      </w:pPr>
    </w:p>
    <w:p w14:paraId="0B1961C5" w14:textId="77777777" w:rsidR="005E546F" w:rsidRPr="00376A2E" w:rsidRDefault="005E546F" w:rsidP="00376A2E">
      <w:pPr>
        <w:ind w:left="2880"/>
        <w:rPr>
          <w:rFonts w:ascii="Arial" w:hAnsi="Arial"/>
          <w:b/>
        </w:rPr>
      </w:pPr>
      <w:r w:rsidRPr="00376A2E">
        <w:rPr>
          <w:rFonts w:ascii="Arial" w:hAnsi="Arial"/>
          <w:b/>
        </w:rPr>
        <w:t>Bylaws-Bethel</w:t>
      </w:r>
    </w:p>
    <w:p w14:paraId="67C868B4" w14:textId="77777777" w:rsidR="005E546F" w:rsidRPr="00376A2E" w:rsidRDefault="005E546F" w:rsidP="00376A2E">
      <w:pPr>
        <w:ind w:left="2880"/>
        <w:rPr>
          <w:rFonts w:ascii="Arial" w:hAnsi="Arial"/>
          <w:sz w:val="16"/>
          <w:szCs w:val="16"/>
        </w:rPr>
      </w:pPr>
    </w:p>
    <w:p w14:paraId="0E65ACB1" w14:textId="7332A2FD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 xml:space="preserve">Article </w:t>
      </w:r>
      <w:r w:rsidR="00CD3B64" w:rsidRPr="00376A2E">
        <w:rPr>
          <w:rFonts w:ascii="Arial" w:hAnsi="Arial"/>
        </w:rPr>
        <w:t>IV</w:t>
      </w:r>
      <w:r w:rsidRPr="00376A2E">
        <w:rPr>
          <w:rFonts w:ascii="Arial" w:hAnsi="Arial"/>
        </w:rPr>
        <w:t>, Section 1 (</w:t>
      </w:r>
      <w:r w:rsidR="00CD3B64" w:rsidRPr="00376A2E">
        <w:rPr>
          <w:rFonts w:ascii="Arial" w:hAnsi="Arial"/>
        </w:rPr>
        <w:t>a</w:t>
      </w:r>
      <w:r w:rsidRPr="00376A2E">
        <w:rPr>
          <w:rFonts w:ascii="Arial" w:hAnsi="Arial"/>
        </w:rPr>
        <w:t>)</w:t>
      </w:r>
    </w:p>
    <w:p w14:paraId="78A3ACBB" w14:textId="7307C2B3" w:rsidR="00CD3B64" w:rsidRPr="00376A2E" w:rsidRDefault="00CD3B64" w:rsidP="00376A2E">
      <w:pPr>
        <w:ind w:left="2880"/>
        <w:rPr>
          <w:rFonts w:ascii="Arial" w:hAnsi="Arial"/>
          <w:u w:val="single"/>
        </w:rPr>
      </w:pPr>
      <w:r w:rsidRPr="00376A2E">
        <w:rPr>
          <w:rFonts w:ascii="Arial" w:hAnsi="Arial"/>
        </w:rPr>
        <w:tab/>
      </w:r>
      <w:r w:rsidRPr="00376A2E">
        <w:rPr>
          <w:rFonts w:ascii="Arial" w:hAnsi="Arial"/>
          <w:u w:val="single"/>
        </w:rPr>
        <w:t>Housekeeping as a result:</w:t>
      </w:r>
    </w:p>
    <w:p w14:paraId="3A2686A2" w14:textId="299B547E" w:rsidR="00CD3B64" w:rsidRPr="00376A2E" w:rsidRDefault="00CD3B64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ab/>
        <w:t>SOP-Bethel-15 No. 1</w:t>
      </w:r>
    </w:p>
    <w:p w14:paraId="0BC542AB" w14:textId="47052C5B" w:rsidR="00CD3B64" w:rsidRPr="00376A2E" w:rsidRDefault="00CD3B64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ab/>
        <w:t>SOP-Bethel-21 Art. XVI, Sec. 1 (a)</w:t>
      </w:r>
    </w:p>
    <w:p w14:paraId="6D9EB9F8" w14:textId="77777777" w:rsidR="005E546F" w:rsidRPr="00376A2E" w:rsidRDefault="005E546F" w:rsidP="00376A2E">
      <w:pPr>
        <w:ind w:left="2880"/>
        <w:rPr>
          <w:rFonts w:ascii="Arial" w:hAnsi="Arial"/>
          <w:sz w:val="20"/>
          <w:szCs w:val="20"/>
        </w:rPr>
      </w:pPr>
    </w:p>
    <w:p w14:paraId="3774AF52" w14:textId="77777777" w:rsidR="001B5187" w:rsidRPr="00376A2E" w:rsidRDefault="001B5187" w:rsidP="00376A2E">
      <w:pPr>
        <w:ind w:left="2880"/>
        <w:rPr>
          <w:rFonts w:ascii="Arial" w:hAnsi="Arial"/>
          <w:sz w:val="20"/>
          <w:szCs w:val="20"/>
        </w:rPr>
      </w:pPr>
    </w:p>
    <w:p w14:paraId="1276B6A2" w14:textId="77777777" w:rsidR="005E546F" w:rsidRPr="00376A2E" w:rsidRDefault="005E546F" w:rsidP="00376A2E">
      <w:pPr>
        <w:ind w:left="2880"/>
        <w:rPr>
          <w:rFonts w:ascii="Arial" w:hAnsi="Arial"/>
          <w:b/>
        </w:rPr>
      </w:pPr>
      <w:r w:rsidRPr="00376A2E">
        <w:rPr>
          <w:rFonts w:ascii="Arial" w:hAnsi="Arial"/>
          <w:b/>
        </w:rPr>
        <w:t>Rules &amp; Regulations</w:t>
      </w:r>
    </w:p>
    <w:p w14:paraId="6F491028" w14:textId="77777777" w:rsidR="005E546F" w:rsidRPr="00376A2E" w:rsidRDefault="005E546F" w:rsidP="00376A2E">
      <w:pPr>
        <w:ind w:left="2880"/>
        <w:rPr>
          <w:rFonts w:ascii="Arial" w:hAnsi="Arial"/>
          <w:sz w:val="16"/>
          <w:szCs w:val="16"/>
        </w:rPr>
      </w:pPr>
    </w:p>
    <w:p w14:paraId="60FDCE48" w14:textId="77777777" w:rsidR="005E546F" w:rsidRPr="00376A2E" w:rsidRDefault="005E546F" w:rsidP="00376A2E">
      <w:pPr>
        <w:ind w:left="2880"/>
        <w:rPr>
          <w:rFonts w:ascii="Arial" w:hAnsi="Arial"/>
          <w:u w:val="single"/>
        </w:rPr>
      </w:pPr>
      <w:r w:rsidRPr="00376A2E">
        <w:rPr>
          <w:rFonts w:ascii="Arial" w:hAnsi="Arial"/>
          <w:u w:val="single"/>
        </w:rPr>
        <w:t>Supreme Bethel</w:t>
      </w:r>
    </w:p>
    <w:p w14:paraId="03DF94D3" w14:textId="77777777" w:rsidR="005E546F" w:rsidRPr="00376A2E" w:rsidRDefault="005E546F" w:rsidP="00376A2E">
      <w:pPr>
        <w:ind w:left="2880"/>
        <w:rPr>
          <w:rFonts w:ascii="Arial" w:hAnsi="Arial"/>
        </w:rPr>
      </w:pPr>
    </w:p>
    <w:p w14:paraId="335D0F03" w14:textId="77777777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>Article VII, Section 1 (c)</w:t>
      </w:r>
    </w:p>
    <w:p w14:paraId="1415ADF3" w14:textId="77777777" w:rsidR="005E546F" w:rsidRPr="00376A2E" w:rsidRDefault="005E546F" w:rsidP="00376A2E">
      <w:pPr>
        <w:ind w:left="2880"/>
        <w:rPr>
          <w:rFonts w:ascii="Arial" w:hAnsi="Arial"/>
        </w:rPr>
      </w:pPr>
    </w:p>
    <w:p w14:paraId="1EBEFE2C" w14:textId="77777777" w:rsidR="005E546F" w:rsidRPr="00376A2E" w:rsidRDefault="005E546F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>Article VII, Section 1 (c) (3)</w:t>
      </w:r>
    </w:p>
    <w:p w14:paraId="2029AEFC" w14:textId="77777777" w:rsidR="005E546F" w:rsidRPr="00376A2E" w:rsidRDefault="005E546F" w:rsidP="00376A2E">
      <w:pPr>
        <w:ind w:left="2880"/>
        <w:rPr>
          <w:rFonts w:ascii="Arial" w:hAnsi="Arial"/>
        </w:rPr>
      </w:pPr>
    </w:p>
    <w:p w14:paraId="5444D971" w14:textId="7E60BA6A" w:rsidR="005E546F" w:rsidRPr="00376A2E" w:rsidRDefault="00851B34" w:rsidP="00376A2E">
      <w:pPr>
        <w:ind w:left="2880"/>
        <w:rPr>
          <w:rFonts w:ascii="Arial" w:hAnsi="Arial"/>
        </w:rPr>
      </w:pPr>
      <w:r w:rsidRPr="00376A2E">
        <w:rPr>
          <w:rFonts w:ascii="Arial" w:hAnsi="Arial"/>
        </w:rPr>
        <w:t>Page 1</w:t>
      </w:r>
      <w:r w:rsidR="00C8352E">
        <w:rPr>
          <w:rFonts w:ascii="Arial" w:hAnsi="Arial"/>
        </w:rPr>
        <w:t>1</w:t>
      </w:r>
    </w:p>
    <w:p w14:paraId="34EB6065" w14:textId="77777777" w:rsidR="00851B34" w:rsidRPr="00376A2E" w:rsidRDefault="00851B34" w:rsidP="00851B34">
      <w:pPr>
        <w:ind w:left="3600"/>
        <w:rPr>
          <w:rFonts w:ascii="Arial" w:hAnsi="Arial"/>
        </w:rPr>
      </w:pPr>
    </w:p>
    <w:p w14:paraId="44DDD2A4" w14:textId="77777777" w:rsidR="00851B34" w:rsidRPr="00376A2E" w:rsidRDefault="00851B34" w:rsidP="00851B34">
      <w:pPr>
        <w:ind w:left="3600"/>
        <w:rPr>
          <w:rFonts w:ascii="Arial" w:hAnsi="Arial"/>
        </w:rPr>
      </w:pPr>
    </w:p>
    <w:p w14:paraId="0CE6BE8A" w14:textId="77777777" w:rsidR="00851B34" w:rsidRPr="00376A2E" w:rsidRDefault="00851B34" w:rsidP="00851B34">
      <w:pPr>
        <w:ind w:left="3600"/>
        <w:rPr>
          <w:rFonts w:ascii="Arial" w:hAnsi="Arial"/>
        </w:rPr>
      </w:pPr>
    </w:p>
    <w:p w14:paraId="0B286943" w14:textId="2E0C7FF4" w:rsidR="00851B34" w:rsidRPr="00C8352E" w:rsidRDefault="00851B34" w:rsidP="00851B34">
      <w:pPr>
        <w:ind w:left="3600"/>
        <w:rPr>
          <w:rFonts w:ascii="Arial" w:hAnsi="Arial"/>
          <w:u w:val="single"/>
        </w:rPr>
      </w:pPr>
      <w:r w:rsidRPr="00C8352E">
        <w:rPr>
          <w:rFonts w:ascii="Arial" w:hAnsi="Arial"/>
          <w:u w:val="single"/>
        </w:rPr>
        <w:lastRenderedPageBreak/>
        <w:t xml:space="preserve">Other </w:t>
      </w:r>
      <w:r w:rsidR="00C8352E" w:rsidRPr="00C8352E">
        <w:rPr>
          <w:rFonts w:ascii="Arial" w:hAnsi="Arial"/>
          <w:u w:val="single"/>
        </w:rPr>
        <w:t>C</w:t>
      </w:r>
      <w:r w:rsidRPr="00C8352E">
        <w:rPr>
          <w:rFonts w:ascii="Arial" w:hAnsi="Arial"/>
          <w:u w:val="single"/>
        </w:rPr>
        <w:t>hanges</w:t>
      </w:r>
    </w:p>
    <w:p w14:paraId="3095811E" w14:textId="77777777" w:rsidR="00C8352E" w:rsidRDefault="00C8352E" w:rsidP="00851B34">
      <w:pPr>
        <w:ind w:left="3600"/>
        <w:rPr>
          <w:rFonts w:ascii="Arial" w:hAnsi="Arial"/>
        </w:rPr>
      </w:pPr>
    </w:p>
    <w:p w14:paraId="72872EB1" w14:textId="258E7D3C" w:rsidR="00C8352E" w:rsidRPr="00376A2E" w:rsidRDefault="00C8352E" w:rsidP="00851B34">
      <w:pPr>
        <w:ind w:left="3600"/>
        <w:rPr>
          <w:rFonts w:ascii="Arial" w:hAnsi="Arial"/>
        </w:rPr>
      </w:pPr>
      <w:r>
        <w:rPr>
          <w:rFonts w:ascii="Arial" w:hAnsi="Arial"/>
        </w:rPr>
        <w:t xml:space="preserve">  POL-BOT 3</w:t>
      </w:r>
    </w:p>
    <w:p w14:paraId="285ADA80" w14:textId="77777777" w:rsidR="00851B34" w:rsidRPr="00376A2E" w:rsidRDefault="00851B34" w:rsidP="00851B34">
      <w:pPr>
        <w:ind w:left="3600"/>
        <w:rPr>
          <w:rFonts w:ascii="Arial" w:hAnsi="Arial"/>
        </w:rPr>
      </w:pPr>
    </w:p>
    <w:p w14:paraId="1D0C061C" w14:textId="6B82DCE6" w:rsidR="00851B34" w:rsidRPr="00C8352E" w:rsidRDefault="00C8352E" w:rsidP="00851B34">
      <w:pPr>
        <w:ind w:left="3600"/>
        <w:rPr>
          <w:rFonts w:ascii="Arial" w:hAnsi="Arial"/>
          <w:u w:val="single"/>
        </w:rPr>
      </w:pPr>
      <w:r w:rsidRPr="00C8352E">
        <w:rPr>
          <w:rFonts w:ascii="Arial" w:hAnsi="Arial"/>
          <w:u w:val="single"/>
        </w:rPr>
        <w:t>Housekeeping</w:t>
      </w:r>
    </w:p>
    <w:p w14:paraId="5FD2658B" w14:textId="77777777" w:rsidR="00C8352E" w:rsidRPr="00376A2E" w:rsidRDefault="00C8352E" w:rsidP="00851B34">
      <w:pPr>
        <w:ind w:left="3600"/>
        <w:rPr>
          <w:rFonts w:ascii="Arial" w:hAnsi="Arial"/>
        </w:rPr>
      </w:pPr>
    </w:p>
    <w:p w14:paraId="71532B2C" w14:textId="654E5AC1" w:rsidR="00851B34" w:rsidRPr="00376A2E" w:rsidRDefault="00851B34" w:rsidP="00851B34">
      <w:pPr>
        <w:ind w:left="2160"/>
        <w:rPr>
          <w:rFonts w:ascii="Arial" w:hAnsi="Arial"/>
        </w:rPr>
      </w:pPr>
      <w:r w:rsidRPr="00376A2E">
        <w:rPr>
          <w:rFonts w:ascii="Arial" w:hAnsi="Arial"/>
        </w:rPr>
        <w:t>All “Unassigned” Articles and Sections were deleted.</w:t>
      </w:r>
    </w:p>
    <w:p w14:paraId="64352160" w14:textId="77777777" w:rsidR="00851B34" w:rsidRPr="00376A2E" w:rsidRDefault="00851B34" w:rsidP="00851B34">
      <w:pPr>
        <w:ind w:left="2160"/>
        <w:rPr>
          <w:rFonts w:ascii="Arial" w:hAnsi="Arial"/>
        </w:rPr>
      </w:pPr>
    </w:p>
    <w:p w14:paraId="09FC9A20" w14:textId="42167D98" w:rsidR="00851B34" w:rsidRPr="00376A2E" w:rsidRDefault="00851B34" w:rsidP="00851B34">
      <w:pPr>
        <w:ind w:left="2160"/>
        <w:rPr>
          <w:rFonts w:ascii="Arial" w:hAnsi="Arial"/>
        </w:rPr>
      </w:pPr>
      <w:r w:rsidRPr="00376A2E">
        <w:rPr>
          <w:rFonts w:ascii="Arial" w:hAnsi="Arial"/>
        </w:rPr>
        <w:t>Subsequent Articles and Sections were renumbered.</w:t>
      </w:r>
    </w:p>
    <w:p w14:paraId="44DCD653" w14:textId="77777777" w:rsidR="00851B34" w:rsidRPr="00376A2E" w:rsidRDefault="00851B34" w:rsidP="00851B34">
      <w:pPr>
        <w:ind w:left="2160"/>
        <w:rPr>
          <w:rFonts w:ascii="Arial" w:hAnsi="Arial"/>
        </w:rPr>
      </w:pPr>
    </w:p>
    <w:p w14:paraId="6717110E" w14:textId="3E8CDB7D" w:rsidR="00851B34" w:rsidRDefault="00851B34" w:rsidP="00851B34">
      <w:pPr>
        <w:ind w:left="1440"/>
        <w:rPr>
          <w:rFonts w:ascii="Arial" w:hAnsi="Arial"/>
        </w:rPr>
      </w:pPr>
      <w:r w:rsidRPr="00376A2E">
        <w:rPr>
          <w:rFonts w:ascii="Arial" w:hAnsi="Arial"/>
        </w:rPr>
        <w:t>All instances of “Initiation Fee” were changed to “Application Fee.”</w:t>
      </w:r>
    </w:p>
    <w:p w14:paraId="66672450" w14:textId="77777777" w:rsidR="00C8352E" w:rsidRDefault="00C8352E" w:rsidP="00851B34">
      <w:pPr>
        <w:ind w:left="1440"/>
        <w:rPr>
          <w:rFonts w:ascii="Arial" w:hAnsi="Arial"/>
        </w:rPr>
      </w:pPr>
    </w:p>
    <w:p w14:paraId="1DE8EFC6" w14:textId="634E1A5E" w:rsidR="00C8352E" w:rsidRPr="00376A2E" w:rsidRDefault="00C8352E" w:rsidP="00851B34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         SOP-SGC-</w:t>
      </w:r>
      <w:proofErr w:type="gramStart"/>
      <w:r>
        <w:rPr>
          <w:rFonts w:ascii="Arial" w:hAnsi="Arial"/>
        </w:rPr>
        <w:t>2</w:t>
      </w:r>
      <w:r w:rsidR="0003169E">
        <w:rPr>
          <w:rFonts w:ascii="Arial" w:hAnsi="Arial"/>
        </w:rPr>
        <w:t>,</w:t>
      </w:r>
      <w:r>
        <w:rPr>
          <w:rFonts w:ascii="Arial" w:hAnsi="Arial"/>
        </w:rPr>
        <w:t xml:space="preserve">  Deleted</w:t>
      </w:r>
      <w:proofErr w:type="gramEnd"/>
      <w:r>
        <w:rPr>
          <w:rFonts w:ascii="Arial" w:hAnsi="Arial"/>
        </w:rPr>
        <w:t xml:space="preserve"> Forms 111, 112, and 113.</w:t>
      </w:r>
    </w:p>
    <w:p w14:paraId="21A1E992" w14:textId="4B5D1A3E" w:rsidR="005E546F" w:rsidRPr="00376A2E" w:rsidRDefault="005E546F" w:rsidP="00851B34">
      <w:pPr>
        <w:rPr>
          <w:rFonts w:ascii="Arial" w:hAnsi="Arial"/>
        </w:rPr>
      </w:pPr>
    </w:p>
    <w:sectPr w:rsidR="005E546F" w:rsidRPr="00376A2E" w:rsidSect="00CD3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6F"/>
    <w:rsid w:val="0003169E"/>
    <w:rsid w:val="001B5187"/>
    <w:rsid w:val="001D71C7"/>
    <w:rsid w:val="00252A3C"/>
    <w:rsid w:val="00376A2E"/>
    <w:rsid w:val="005E546F"/>
    <w:rsid w:val="006B6677"/>
    <w:rsid w:val="00851B34"/>
    <w:rsid w:val="00C8352E"/>
    <w:rsid w:val="00CC2533"/>
    <w:rsid w:val="00CD3B64"/>
    <w:rsid w:val="00D00960"/>
    <w:rsid w:val="00D2117F"/>
    <w:rsid w:val="00E5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95F4A"/>
  <w14:defaultImageDpi w14:val="300"/>
  <w15:docId w15:val="{04A73DCF-7500-4646-A1F3-33E5369C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Jones</dc:creator>
  <cp:keywords/>
  <dc:description/>
  <cp:lastModifiedBy>Susan Goolsby</cp:lastModifiedBy>
  <cp:revision>2</cp:revision>
  <dcterms:created xsi:type="dcterms:W3CDTF">2020-02-10T16:29:00Z</dcterms:created>
  <dcterms:modified xsi:type="dcterms:W3CDTF">2020-02-10T16:29:00Z</dcterms:modified>
</cp:coreProperties>
</file>